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D" w:rsidRPr="009A0FE7" w:rsidRDefault="00D42E37" w:rsidP="009F4CCB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264FD" w:rsidRPr="009A0FE7">
        <w:rPr>
          <w:rFonts w:ascii="Times New Roman" w:hAnsi="Times New Roman"/>
          <w:sz w:val="28"/>
          <w:szCs w:val="28"/>
        </w:rPr>
        <w:t>ПРОЕКТ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 </w:t>
      </w:r>
      <w:r w:rsidR="003C029C">
        <w:rPr>
          <w:rFonts w:ascii="Times New Roman" w:hAnsi="Times New Roman"/>
          <w:bCs/>
          <w:color w:val="000000"/>
          <w:sz w:val="28"/>
          <w:szCs w:val="28"/>
        </w:rPr>
        <w:t>Кипчак-Аскаровский</w:t>
      </w:r>
      <w:r w:rsidR="00D42E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Альшеевский район Республики Башкортостан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D42E37" w:rsidP="009A0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КАРАР                             № _______                    </w:t>
      </w:r>
      <w:r w:rsidR="003264FD" w:rsidRPr="009A0FE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4FD" w:rsidRPr="009A0FE7" w:rsidRDefault="00D42E37" w:rsidP="009A0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264FD" w:rsidRPr="009A0FE7">
        <w:rPr>
          <w:rFonts w:ascii="Times New Roman" w:hAnsi="Times New Roman"/>
          <w:sz w:val="28"/>
          <w:szCs w:val="28"/>
        </w:rPr>
        <w:t>«___»_______2017г.</w:t>
      </w:r>
    </w:p>
    <w:p w:rsidR="003264FD" w:rsidRPr="009A0FE7" w:rsidRDefault="003264FD" w:rsidP="009A0FE7">
      <w:pPr>
        <w:jc w:val="center"/>
        <w:rPr>
          <w:rFonts w:ascii="Times New Roman" w:hAnsi="Times New Roman"/>
          <w:sz w:val="28"/>
          <w:szCs w:val="28"/>
        </w:rPr>
      </w:pPr>
    </w:p>
    <w:p w:rsidR="003264FD" w:rsidRPr="00D42E37" w:rsidRDefault="00D42E37" w:rsidP="00D42E37">
      <w:pPr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64FD"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3264FD"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264FD"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3264FD"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3264FD" w:rsidRPr="009A0FE7" w:rsidRDefault="003264FD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48" w:type="dxa"/>
        <w:tblLayout w:type="fixed"/>
        <w:tblLook w:val="00A0"/>
      </w:tblPr>
      <w:tblGrid>
        <w:gridCol w:w="2254"/>
        <w:gridCol w:w="2551"/>
      </w:tblGrid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3264FD" w:rsidRDefault="003264FD" w:rsidP="00875CE9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</w:t>
            </w:r>
            <w:r w:rsidR="00875C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3264FD" w:rsidRDefault="003264FD" w:rsidP="00875CE9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</w:t>
            </w:r>
            <w:r w:rsidR="00875C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CE9">
              <w:rPr>
                <w:rFonts w:ascii="Times New Roman" w:hAnsi="Times New Roman"/>
                <w:sz w:val="24"/>
                <w:szCs w:val="24"/>
              </w:rPr>
              <w:t>с 8.30 до 17.00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5CE9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3264FD" w:rsidRDefault="00875CE9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17</w:t>
            </w:r>
            <w:r w:rsidR="003264F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3264FD" w:rsidTr="00DC554D">
        <w:tc>
          <w:tcPr>
            <w:tcW w:w="4805" w:type="dxa"/>
            <w:gridSpan w:val="2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330" w:right="-1096" w:firstLine="379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Контактные телефоны: 8(34754) </w:t>
      </w:r>
      <w:r>
        <w:rPr>
          <w:rFonts w:ascii="Times New Roman" w:hAnsi="Times New Roman"/>
          <w:sz w:val="28"/>
          <w:szCs w:val="28"/>
        </w:rPr>
        <w:t>3-</w:t>
      </w:r>
      <w:r w:rsidR="003C029C">
        <w:rPr>
          <w:rFonts w:ascii="Times New Roman" w:hAnsi="Times New Roman"/>
          <w:sz w:val="28"/>
          <w:szCs w:val="28"/>
        </w:rPr>
        <w:t>76-41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3C029C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</w:t>
      </w:r>
      <w:r w:rsidRPr="00D42E37">
        <w:rPr>
          <w:rFonts w:ascii="Times New Roman" w:hAnsi="Times New Roman"/>
          <w:sz w:val="28"/>
          <w:szCs w:val="28"/>
        </w:rPr>
        <w:t xml:space="preserve">-    </w:t>
      </w:r>
      <w:hyperlink r:id="rId7" w:history="1">
        <w:r w:rsidR="003C029C" w:rsidRPr="00D04E0E">
          <w:rPr>
            <w:rStyle w:val="a6"/>
            <w:rFonts w:ascii="Times New Roman" w:hAnsi="Times New Roman"/>
            <w:sz w:val="28"/>
            <w:szCs w:val="28"/>
          </w:rPr>
          <w:t>http://kipchak.spalshey.ru/</w:t>
        </w:r>
      </w:hyperlink>
      <w:r w:rsidR="003C029C">
        <w:rPr>
          <w:rFonts w:ascii="Times New Roman" w:hAnsi="Times New Roman"/>
          <w:color w:val="000000"/>
          <w:sz w:val="28"/>
          <w:szCs w:val="28"/>
        </w:rPr>
        <w:t>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 w:rsidRPr="003C029C">
        <w:rPr>
          <w:rFonts w:ascii="Times New Roman" w:hAnsi="Times New Roman"/>
          <w:sz w:val="28"/>
          <w:szCs w:val="28"/>
        </w:rPr>
        <w:t xml:space="preserve">-  </w:t>
      </w:r>
      <w:r w:rsidR="003C029C" w:rsidRPr="003C029C">
        <w:rPr>
          <w:rFonts w:ascii="Times New Roman" w:hAnsi="Times New Roman"/>
          <w:color w:val="000000"/>
          <w:sz w:val="28"/>
          <w:szCs w:val="28"/>
        </w:rPr>
        <w:t>http://kipchak.spalshey.ru</w:t>
      </w:r>
      <w:r w:rsidR="00D42E37" w:rsidRPr="003C029C">
        <w:rPr>
          <w:rFonts w:ascii="Times New Roman" w:hAnsi="Times New Roman"/>
          <w:sz w:val="28"/>
          <w:szCs w:val="28"/>
        </w:rPr>
        <w:t>/</w:t>
      </w:r>
      <w:r w:rsidR="00D42E37" w:rsidRPr="003C029C">
        <w:rPr>
          <w:rFonts w:ascii="Times New Roman" w:hAnsi="Times New Roman"/>
          <w:color w:val="000000"/>
          <w:sz w:val="28"/>
          <w:szCs w:val="28"/>
        </w:rPr>
        <w:t>.</w:t>
      </w:r>
      <w:r w:rsidRPr="003C029C">
        <w:rPr>
          <w:rFonts w:ascii="Times New Roman" w:hAnsi="Times New Roman"/>
          <w:sz w:val="28"/>
          <w:szCs w:val="28"/>
        </w:rPr>
        <w:t>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proofErr w:type="spellStart"/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9A0FE7">
        <w:rPr>
          <w:rFonts w:ascii="Times New Roman" w:hAnsi="Times New Roman"/>
          <w:sz w:val="28"/>
          <w:szCs w:val="28"/>
        </w:rPr>
        <w:t>г(</w:t>
      </w:r>
      <w:proofErr w:type="gramEnd"/>
      <w:r w:rsidRPr="009A0FE7">
        <w:rPr>
          <w:rFonts w:ascii="Times New Roman" w:hAnsi="Times New Roman"/>
          <w:sz w:val="28"/>
          <w:szCs w:val="28"/>
        </w:rPr>
        <w:t>функций)) (http://www.gosuslugi.ru);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Адрес местонахождения РГАУ МФЦ: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Республика Башкортостан, Альшеевский район, с. Раевский, ул. Ленина, 113.Официальный сайт РГАУ МФЦ: </w:t>
      </w:r>
      <w:proofErr w:type="spellStart"/>
      <w:r w:rsidRPr="009A0FE7">
        <w:rPr>
          <w:rFonts w:ascii="Times New Roman" w:hAnsi="Times New Roman"/>
          <w:sz w:val="28"/>
          <w:szCs w:val="28"/>
        </w:rPr>
        <w:t>www.mfcrb.ru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  <w:proofErr w:type="gramEnd"/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9A0FE7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9A0FE7">
        <w:rPr>
          <w:rFonts w:ascii="Times New Roman" w:hAnsi="Times New Roman"/>
          <w:sz w:val="28"/>
          <w:szCs w:val="28"/>
        </w:rPr>
        <w:t xml:space="preserve"> официального сайта Администрации муниципального образования в сети Интернет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9C" w:rsidRPr="003C029C">
        <w:rPr>
          <w:rFonts w:ascii="Times New Roman" w:hAnsi="Times New Roman"/>
          <w:color w:val="000000"/>
          <w:sz w:val="28"/>
          <w:szCs w:val="28"/>
        </w:rPr>
        <w:t>http://kipchak.spalshey.ru/</w:t>
      </w:r>
      <w:r w:rsidRPr="00D42E37">
        <w:rPr>
          <w:rFonts w:ascii="Times New Roman" w:hAnsi="Times New Roman"/>
          <w:sz w:val="28"/>
          <w:szCs w:val="28"/>
        </w:rPr>
        <w:t>,</w:t>
      </w:r>
      <w:r w:rsidRPr="009A0FE7">
        <w:rPr>
          <w:rFonts w:ascii="Times New Roman" w:hAnsi="Times New Roman"/>
          <w:sz w:val="28"/>
          <w:szCs w:val="28"/>
        </w:rPr>
        <w:t xml:space="preserve"> либо по электронным адресам: ___________________.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10) Устав </w:t>
      </w:r>
      <w:r w:rsidR="00D42E37">
        <w:rPr>
          <w:rFonts w:ascii="Times New Roman" w:hAnsi="Times New Roman"/>
          <w:sz w:val="28"/>
          <w:szCs w:val="28"/>
        </w:rPr>
        <w:t xml:space="preserve"> </w:t>
      </w:r>
      <w:r w:rsidRPr="009A0F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029C">
        <w:rPr>
          <w:rFonts w:ascii="Times New Roman" w:hAnsi="Times New Roman"/>
          <w:sz w:val="28"/>
          <w:szCs w:val="28"/>
        </w:rPr>
        <w:t>Кипчак-Аскаровский</w:t>
      </w:r>
      <w:r w:rsidR="00D42E37">
        <w:rPr>
          <w:rFonts w:ascii="Times New Roman" w:hAnsi="Times New Roman"/>
          <w:sz w:val="28"/>
          <w:szCs w:val="28"/>
        </w:rPr>
        <w:t xml:space="preserve"> </w:t>
      </w:r>
      <w:r w:rsidRPr="009A0FE7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proofErr w:type="gramStart"/>
      <w:r w:rsidRPr="009A0FE7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правовыми  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</w:t>
      </w:r>
      <w:proofErr w:type="spellStart"/>
      <w:r w:rsidRPr="009A0FE7">
        <w:rPr>
          <w:rFonts w:ascii="Times New Roman" w:hAnsi="Times New Roman"/>
          <w:bCs/>
          <w:sz w:val="28"/>
          <w:szCs w:val="28"/>
          <w:lang w:eastAsia="ru-RU"/>
        </w:rPr>
        <w:t>помещениймуниципального</w:t>
      </w:r>
      <w:proofErr w:type="spellEnd"/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9A0FE7">
        <w:rPr>
          <w:rFonts w:ascii="Times New Roman" w:hAnsi="Times New Roman"/>
          <w:sz w:val="28"/>
          <w:szCs w:val="28"/>
        </w:rPr>
        <w:t>.К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заявлению должны быть приложены следующие документы: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0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1) о правах отдельного лица на имеющиеся у него объекты недвижимого имущества;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2.12. Оснований для приостановления предоставления муниципальной услуги </w:t>
      </w:r>
      <w:r w:rsidRPr="009A0FE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9A0FE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2.19. Предоставление муниципальной услуги осуществляется в зданиях и </w:t>
      </w:r>
      <w:r w:rsidRPr="009A0FE7">
        <w:rPr>
          <w:rFonts w:ascii="Times New Roman" w:hAnsi="Times New Roman"/>
          <w:sz w:val="28"/>
          <w:szCs w:val="28"/>
        </w:rPr>
        <w:lastRenderedPageBreak/>
        <w:t>помещениях, оборудованных соответствующими указателями, информационными стендами.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9A0FE7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0FE7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9A0FE7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9A0FE7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</w:t>
      </w:r>
      <w:r w:rsidRPr="009A0FE7">
        <w:rPr>
          <w:rFonts w:ascii="Times New Roman" w:hAnsi="Times New Roman"/>
          <w:sz w:val="28"/>
          <w:szCs w:val="28"/>
        </w:rPr>
        <w:lastRenderedPageBreak/>
        <w:t>второй - подлежит возврату курьеру. Информация о получении документов заносится в электронную базу.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</w:t>
      </w:r>
      <w:r w:rsidRPr="009A0FE7">
        <w:rPr>
          <w:rFonts w:ascii="Times New Roman" w:hAnsi="Times New Roman"/>
          <w:sz w:val="28"/>
          <w:szCs w:val="28"/>
        </w:rPr>
        <w:lastRenderedPageBreak/>
        <w:t>должностным регламентом или иным нормативным актом Администрации;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9A0FE7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</w:t>
      </w:r>
      <w:proofErr w:type="gramStart"/>
      <w:r w:rsidRPr="009A0FE7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заявителя;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  <w:proofErr w:type="gramEnd"/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2) проверка комплектности и рассмотрение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документы заверены, скреплены печатями, имеют надлежащие подписи </w:t>
      </w:r>
      <w:r w:rsidRPr="009A0FE7">
        <w:rPr>
          <w:rFonts w:ascii="Times New Roman" w:hAnsi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подпись Руководителю.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3264FD" w:rsidRPr="009A0FE7" w:rsidRDefault="003264FD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A0F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A0FE7">
        <w:rPr>
          <w:rFonts w:ascii="Times New Roman" w:hAnsi="Times New Roman"/>
          <w:sz w:val="28"/>
          <w:szCs w:val="28"/>
        </w:rPr>
        <w:t>таких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9A0FE7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A0FE7">
        <w:rPr>
          <w:rFonts w:ascii="Times New Roman" w:hAnsi="Times New Roman"/>
          <w:sz w:val="28"/>
          <w:szCs w:val="28"/>
        </w:rPr>
        <w:t>случае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подписанное уведомление о невозможности заключения договора передачи в_______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</w:t>
      </w:r>
      <w:r w:rsidRPr="009A0FE7">
        <w:rPr>
          <w:rFonts w:ascii="Times New Roman" w:hAnsi="Times New Roman"/>
          <w:sz w:val="28"/>
          <w:szCs w:val="28"/>
        </w:rPr>
        <w:lastRenderedPageBreak/>
        <w:t>который согласовывается с начальником Отдела и передается на подпись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A0FE7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A0FE7">
        <w:rPr>
          <w:rFonts w:ascii="Times New Roman" w:hAnsi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A0FE7">
        <w:rPr>
          <w:rFonts w:ascii="Times New Roman" w:hAnsi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</w:t>
      </w:r>
      <w:r w:rsidRPr="009A0FE7">
        <w:rPr>
          <w:rFonts w:ascii="Times New Roman" w:hAnsi="Times New Roman"/>
          <w:sz w:val="28"/>
          <w:szCs w:val="28"/>
        </w:rPr>
        <w:lastRenderedPageBreak/>
        <w:t>услуги, в том числе в следующих случаях: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5.4.1 в случае если в письменном обращении не </w:t>
      </w:r>
      <w:proofErr w:type="gramStart"/>
      <w:r w:rsidRPr="009A0FE7">
        <w:rPr>
          <w:rFonts w:ascii="Times New Roman" w:hAnsi="Times New Roman"/>
          <w:sz w:val="28"/>
          <w:szCs w:val="28"/>
        </w:rPr>
        <w:t>указаны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5.9.1 Главе Администрации по адресу: Республика Башкортостан, Альшеевский район, с. </w:t>
      </w:r>
      <w:r w:rsidR="003C029C">
        <w:rPr>
          <w:rFonts w:ascii="Times New Roman" w:hAnsi="Times New Roman"/>
          <w:sz w:val="28"/>
          <w:szCs w:val="28"/>
        </w:rPr>
        <w:t>Кипчак-Аскарово, ул. Салавата Юлаева</w:t>
      </w:r>
      <w:proofErr w:type="gramStart"/>
      <w:r w:rsidR="003C029C">
        <w:rPr>
          <w:rFonts w:ascii="Times New Roman" w:hAnsi="Times New Roman"/>
          <w:sz w:val="28"/>
          <w:szCs w:val="28"/>
        </w:rPr>
        <w:t>,д</w:t>
      </w:r>
      <w:proofErr w:type="gramEnd"/>
      <w:r w:rsidR="003C029C">
        <w:rPr>
          <w:rFonts w:ascii="Times New Roman" w:hAnsi="Times New Roman"/>
          <w:sz w:val="28"/>
          <w:szCs w:val="28"/>
        </w:rPr>
        <w:t>.109</w:t>
      </w:r>
      <w:r w:rsidR="00D42E37">
        <w:rPr>
          <w:rFonts w:ascii="Times New Roman" w:hAnsi="Times New Roman"/>
          <w:sz w:val="28"/>
          <w:szCs w:val="28"/>
        </w:rPr>
        <w:t xml:space="preserve"> </w:t>
      </w:r>
      <w:r w:rsidRPr="009A0FE7">
        <w:rPr>
          <w:rFonts w:ascii="Times New Roman" w:hAnsi="Times New Roman"/>
          <w:sz w:val="28"/>
          <w:szCs w:val="28"/>
        </w:rPr>
        <w:t xml:space="preserve">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5.11.2 решение об отказе в удовлетворении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A0FE7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spacing w:after="160" w:line="259" w:lineRule="auto"/>
        <w:ind w:right="-1096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7" w:history="1">
        <w:r w:rsidRPr="009A0FE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 xml:space="preserve">Настоящим заявлением даем согласие Администрации муниципального образования (оператор) на автоматизированную, а также без использования </w:t>
      </w:r>
      <w:r w:rsidRPr="009A0FE7">
        <w:rPr>
          <w:rFonts w:ascii="Times New Roman" w:hAnsi="Times New Roman" w:cs="Times New Roman"/>
          <w:sz w:val="28"/>
          <w:szCs w:val="28"/>
        </w:rPr>
        <w:lastRenderedPageBreak/>
        <w:t>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предупреждены.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9A0FE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005575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Приложение № 2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00557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sz w:val="28"/>
          <w:szCs w:val="28"/>
        </w:rPr>
        <w:t>услуги «</w:t>
      </w: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005575" w:rsidRDefault="003264FD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005575">
        <w:rPr>
          <w:rFonts w:ascii="Times New Roman" w:hAnsi="Times New Roman"/>
          <w:b/>
          <w:sz w:val="28"/>
          <w:szCs w:val="28"/>
        </w:rPr>
        <w:t>»</w:t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4"/>
          <w:szCs w:val="24"/>
        </w:rPr>
      </w:pPr>
      <w:r w:rsidRPr="00005575">
        <w:rPr>
          <w:sz w:val="24"/>
          <w:szCs w:val="24"/>
        </w:rPr>
        <w:t>Блок-схема</w:t>
      </w:r>
    </w:p>
    <w:p w:rsidR="003264FD" w:rsidRPr="00005575" w:rsidRDefault="003264FD" w:rsidP="00CA48C3">
      <w:pPr>
        <w:widowControl w:val="0"/>
        <w:tabs>
          <w:tab w:val="center" w:pos="4677"/>
          <w:tab w:val="left" w:pos="8565"/>
        </w:tabs>
        <w:adjustRightInd w:val="0"/>
        <w:rPr>
          <w:sz w:val="24"/>
          <w:szCs w:val="24"/>
        </w:rPr>
      </w:pPr>
      <w:r w:rsidRPr="00005575">
        <w:rPr>
          <w:sz w:val="24"/>
          <w:szCs w:val="24"/>
        </w:rPr>
        <w:tab/>
        <w:t>последовательности административных процедур</w:t>
      </w:r>
      <w:r w:rsidRPr="00005575">
        <w:rPr>
          <w:sz w:val="24"/>
          <w:szCs w:val="24"/>
        </w:rPr>
        <w:tab/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0"/>
          <w:szCs w:val="20"/>
        </w:rPr>
      </w:pPr>
      <w:r w:rsidRPr="00005575">
        <w:rPr>
          <w:sz w:val="24"/>
          <w:szCs w:val="24"/>
        </w:rPr>
        <w:t>при предоставлении муниципальной</w:t>
      </w:r>
      <w:r w:rsidRPr="00005575">
        <w:rPr>
          <w:sz w:val="20"/>
          <w:szCs w:val="20"/>
        </w:rPr>
        <w:t xml:space="preserve"> </w:t>
      </w:r>
      <w:r w:rsidRPr="00005575">
        <w:rPr>
          <w:sz w:val="24"/>
          <w:szCs w:val="24"/>
        </w:rPr>
        <w:t>услуги</w:t>
      </w:r>
    </w:p>
    <w:p w:rsidR="003264FD" w:rsidRPr="00005575" w:rsidRDefault="003264FD" w:rsidP="00CA48C3">
      <w:pPr>
        <w:widowControl w:val="0"/>
        <w:adjustRightInd w:val="0"/>
        <w:rPr>
          <w:sz w:val="20"/>
          <w:szCs w:val="20"/>
        </w:rPr>
      </w:pPr>
      <w:r w:rsidRPr="00005575">
        <w:rPr>
          <w:sz w:val="20"/>
          <w:szCs w:val="20"/>
        </w:rPr>
        <w:t xml:space="preserve">                       </w:t>
      </w:r>
    </w:p>
    <w:p w:rsidR="003264FD" w:rsidRDefault="00C93CCB" w:rsidP="00CA48C3">
      <w:pPr>
        <w:widowControl w:val="0"/>
        <w:adjustRightInd w:val="0"/>
        <w:rPr>
          <w:sz w:val="20"/>
          <w:szCs w:val="20"/>
        </w:rPr>
      </w:pPr>
      <w:bookmarkStart w:id="2" w:name="Par29"/>
      <w:bookmarkEnd w:id="2"/>
      <w:r w:rsidRPr="00C93CCB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1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3264FD" w:rsidRDefault="003264FD" w:rsidP="00CA48C3">
                  <w:pPr>
                    <w:widowControl w:val="0"/>
                    <w:adjustRightInd w:val="0"/>
                    <w:jc w:val="center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jc w:val="center"/>
                  </w:pPr>
                </w:p>
              </w:txbxContent>
            </v:textbox>
          </v:rect>
        </w:pict>
      </w:r>
      <w:r w:rsidRPr="00C93C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;visibility:visible">
            <v:stroke endarrow="open"/>
            <o:lock v:ext="edit" shapetype="f"/>
          </v:shape>
        </w:pict>
      </w:r>
    </w:p>
    <w:p w:rsidR="003264FD" w:rsidRDefault="003264FD" w:rsidP="00005575">
      <w:pPr>
        <w:widowControl w:val="0"/>
        <w:tabs>
          <w:tab w:val="left" w:pos="3285"/>
        </w:tabs>
        <w:adjustRightInd w:val="0"/>
        <w:rPr>
          <w:sz w:val="24"/>
          <w:szCs w:val="24"/>
        </w:rPr>
      </w:pP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8;visibility:visible">
            <v:stroke endarrow="block"/>
            <o:lock v:ext="edit" shapetype="f"/>
          </v:shape>
        </w:pict>
      </w:r>
      <w:r w:rsidRPr="00C93CCB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10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3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C93CCB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C93CCB" w:rsidP="00CA48C3">
      <w:pPr>
        <w:widowControl w:val="0"/>
        <w:tabs>
          <w:tab w:val="left" w:pos="6946"/>
        </w:tabs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>
            <v:stroke endarrow="block"/>
          </v:shape>
        </w:pict>
      </w: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264FD">
        <w:rPr>
          <w:noProof/>
        </w:rPr>
        <w:t xml:space="preserve"> </w:t>
      </w:r>
    </w:p>
    <w:p w:rsidR="003264FD" w:rsidRDefault="003264FD" w:rsidP="00CA48C3">
      <w:pPr>
        <w:widowControl w:val="0"/>
        <w:tabs>
          <w:tab w:val="left" w:pos="4536"/>
        </w:tabs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12;visibility:visible">
            <v:stroke endarrow="block"/>
          </v:shape>
        </w:pict>
      </w:r>
      <w:r w:rsidRPr="00C93CCB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14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C93CCB" w:rsidP="00CA48C3">
      <w:pPr>
        <w:widowControl w:val="0"/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264FD" w:rsidRDefault="003264FD" w:rsidP="00CA48C3">
      <w:pPr>
        <w:tabs>
          <w:tab w:val="left" w:pos="6894"/>
        </w:tabs>
        <w:rPr>
          <w:sz w:val="20"/>
          <w:szCs w:val="20"/>
        </w:rPr>
      </w:pPr>
      <w:r>
        <w:tab/>
      </w:r>
    </w:p>
    <w:p w:rsidR="003264FD" w:rsidRDefault="003264FD" w:rsidP="00CA48C3">
      <w:pPr>
        <w:tabs>
          <w:tab w:val="left" w:pos="6894"/>
        </w:tabs>
      </w:pPr>
      <w:r>
        <w:tab/>
      </w:r>
    </w:p>
    <w:p w:rsidR="003264FD" w:rsidRDefault="00C93CCB" w:rsidP="00CA48C3">
      <w:r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15;visibility:visible">
            <v:stroke endarrow="block"/>
          </v:shape>
        </w:pict>
      </w:r>
    </w:p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>
      <w:pPr>
        <w:tabs>
          <w:tab w:val="left" w:pos="2834"/>
        </w:tabs>
      </w:pPr>
      <w:r>
        <w:tab/>
      </w: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C93CCB" w:rsidP="00CA48C3">
      <w:pPr>
        <w:widowControl w:val="0"/>
        <w:tabs>
          <w:tab w:val="left" w:pos="5415"/>
        </w:tabs>
        <w:adjustRightInd w:val="0"/>
        <w:rPr>
          <w:sz w:val="24"/>
          <w:szCs w:val="24"/>
        </w:rPr>
      </w:pPr>
      <w:r w:rsidRPr="00C93CCB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16;visibility:visible">
            <v:stroke endarrow="block"/>
          </v:shape>
        </w:pict>
      </w:r>
      <w:r w:rsidR="003264FD">
        <w:rPr>
          <w:sz w:val="24"/>
          <w:szCs w:val="24"/>
        </w:rPr>
        <w:tab/>
      </w:r>
      <w:r w:rsidR="003264FD">
        <w:rPr>
          <w:color w:val="FF0000"/>
        </w:rPr>
        <w:t>Выдача договора передачи и</w:t>
      </w:r>
    </w:p>
    <w:p w:rsidR="003264FD" w:rsidRDefault="00C93CCB" w:rsidP="00CA48C3">
      <w:pPr>
        <w:widowControl w:val="0"/>
        <w:adjustRightInd w:val="0"/>
        <w:jc w:val="right"/>
        <w:rPr>
          <w:sz w:val="24"/>
          <w:szCs w:val="24"/>
        </w:rPr>
      </w:pPr>
      <w:r w:rsidRPr="00C93CCB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7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3264FD" w:rsidRDefault="003264FD" w:rsidP="00CA48C3"/>
              </w:txbxContent>
            </v:textbox>
          </v:rect>
        </w:pict>
      </w: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675"/>
        <w:gridCol w:w="1632"/>
        <w:gridCol w:w="1649"/>
        <w:gridCol w:w="1304"/>
        <w:gridCol w:w="1497"/>
        <w:gridCol w:w="1418"/>
        <w:gridCol w:w="1004"/>
      </w:tblGrid>
      <w:tr w:rsidR="003264FD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="007F5C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64FD" w:rsidRPr="009A0FE7" w:rsidRDefault="003264FD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3264FD" w:rsidRPr="009A0FE7" w:rsidSect="00AD678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80" w:rsidRDefault="00034D80">
      <w:pPr>
        <w:spacing w:after="0" w:line="240" w:lineRule="auto"/>
      </w:pPr>
      <w:r>
        <w:separator/>
      </w:r>
    </w:p>
  </w:endnote>
  <w:endnote w:type="continuationSeparator" w:id="0">
    <w:p w:rsidR="00034D80" w:rsidRDefault="000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80" w:rsidRDefault="00034D80">
      <w:pPr>
        <w:spacing w:after="0" w:line="240" w:lineRule="auto"/>
      </w:pPr>
      <w:r>
        <w:separator/>
      </w:r>
    </w:p>
  </w:footnote>
  <w:footnote w:type="continuationSeparator" w:id="0">
    <w:p w:rsidR="00034D80" w:rsidRDefault="0003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63E4"/>
    <w:rsid w:val="00034D80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7BA7"/>
    <w:rsid w:val="001876AB"/>
    <w:rsid w:val="001917DC"/>
    <w:rsid w:val="001B7376"/>
    <w:rsid w:val="001F2B6F"/>
    <w:rsid w:val="00224ABE"/>
    <w:rsid w:val="00231CCE"/>
    <w:rsid w:val="00237432"/>
    <w:rsid w:val="00271C4D"/>
    <w:rsid w:val="00297178"/>
    <w:rsid w:val="00297A0A"/>
    <w:rsid w:val="002A4B06"/>
    <w:rsid w:val="002C45DF"/>
    <w:rsid w:val="002D7470"/>
    <w:rsid w:val="003264FD"/>
    <w:rsid w:val="003339A1"/>
    <w:rsid w:val="00343945"/>
    <w:rsid w:val="00372E0B"/>
    <w:rsid w:val="0038558A"/>
    <w:rsid w:val="003C029C"/>
    <w:rsid w:val="003D3671"/>
    <w:rsid w:val="003F2AE4"/>
    <w:rsid w:val="00407E98"/>
    <w:rsid w:val="004234A5"/>
    <w:rsid w:val="00461AD5"/>
    <w:rsid w:val="0046590D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C09B6"/>
    <w:rsid w:val="005F36FF"/>
    <w:rsid w:val="00602E31"/>
    <w:rsid w:val="006058D6"/>
    <w:rsid w:val="00606F7F"/>
    <w:rsid w:val="00623F8C"/>
    <w:rsid w:val="006300B5"/>
    <w:rsid w:val="0066291E"/>
    <w:rsid w:val="006666B9"/>
    <w:rsid w:val="006A5BB8"/>
    <w:rsid w:val="006C0DF0"/>
    <w:rsid w:val="00704DB4"/>
    <w:rsid w:val="007437E5"/>
    <w:rsid w:val="00760247"/>
    <w:rsid w:val="007644B8"/>
    <w:rsid w:val="00777E53"/>
    <w:rsid w:val="00782BCA"/>
    <w:rsid w:val="00782E54"/>
    <w:rsid w:val="00793542"/>
    <w:rsid w:val="007B7F3F"/>
    <w:rsid w:val="007C0A18"/>
    <w:rsid w:val="007D308C"/>
    <w:rsid w:val="007F5CB7"/>
    <w:rsid w:val="008557AC"/>
    <w:rsid w:val="00875CE9"/>
    <w:rsid w:val="00897B3E"/>
    <w:rsid w:val="008C59EA"/>
    <w:rsid w:val="008F35DF"/>
    <w:rsid w:val="00900D0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4304F"/>
    <w:rsid w:val="00A436DF"/>
    <w:rsid w:val="00A44461"/>
    <w:rsid w:val="00A5758E"/>
    <w:rsid w:val="00A7748A"/>
    <w:rsid w:val="00A82101"/>
    <w:rsid w:val="00A85A4F"/>
    <w:rsid w:val="00A9484F"/>
    <w:rsid w:val="00AD6787"/>
    <w:rsid w:val="00AD6BF9"/>
    <w:rsid w:val="00B01CD8"/>
    <w:rsid w:val="00B22E35"/>
    <w:rsid w:val="00B32588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3CCB"/>
    <w:rsid w:val="00C940A2"/>
    <w:rsid w:val="00CA48C3"/>
    <w:rsid w:val="00CB519B"/>
    <w:rsid w:val="00CE7A69"/>
    <w:rsid w:val="00D242C1"/>
    <w:rsid w:val="00D329EC"/>
    <w:rsid w:val="00D42E37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4930"/>
    <w:rsid w:val="00DE6A21"/>
    <w:rsid w:val="00DF0E33"/>
    <w:rsid w:val="00E11322"/>
    <w:rsid w:val="00E173F7"/>
    <w:rsid w:val="00E732B6"/>
    <w:rsid w:val="00EA2E46"/>
    <w:rsid w:val="00EB3663"/>
    <w:rsid w:val="00EC595E"/>
    <w:rsid w:val="00EC6A1A"/>
    <w:rsid w:val="00EC7F80"/>
    <w:rsid w:val="00F020EC"/>
    <w:rsid w:val="00F132C4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9" type="connector" idref="#Прямая со стрелкой 40"/>
        <o:r id="V:Rule10" type="connector" idref="#Прямая со стрелкой 36"/>
        <o:r id="V:Rule11" type="connector" idref="#Прямая со стрелкой 3"/>
        <o:r id="V:Rule12" type="connector" idref="#Прямая со стрелкой 4"/>
        <o:r id="V:Rule13" type="connector" idref="#Прямая со стрелкой 7"/>
        <o:r id="V:Rule14" type="connector" idref="#Прямая со стрелкой 47"/>
        <o:r id="V:Rule15" type="connector" idref="#Прямая со стрелкой 33"/>
        <o:r id="V:Rule16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pchak.spalshey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EAAD076B108532CA6063F8CBFB51B244CB7DE3ACB11106D0D4E30C6DICC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8698</Words>
  <Characters>49583</Characters>
  <Application>Microsoft Office Word</Application>
  <DocSecurity>0</DocSecurity>
  <Lines>413</Lines>
  <Paragraphs>116</Paragraphs>
  <ScaleCrop>false</ScaleCrop>
  <Company>MZIORB</Company>
  <LinksUpToDate>false</LinksUpToDate>
  <CharactersWithSpaces>58165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35</cp:revision>
  <dcterms:created xsi:type="dcterms:W3CDTF">2016-05-27T08:27:00Z</dcterms:created>
  <dcterms:modified xsi:type="dcterms:W3CDTF">2017-03-07T03:02:00Z</dcterms:modified>
</cp:coreProperties>
</file>